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8B0B" w14:textId="1A354979" w:rsidR="00017DBE" w:rsidRDefault="00017DBE" w:rsidP="00B62DE8">
      <w:pPr>
        <w:ind w:left="709"/>
        <w:jc w:val="center"/>
        <w:rPr>
          <w:noProof/>
        </w:rPr>
      </w:pPr>
      <w:r>
        <w:rPr>
          <w:noProof/>
        </w:rPr>
        <w:drawing>
          <wp:inline distT="0" distB="0" distL="0" distR="0" wp14:anchorId="4FF4081F" wp14:editId="5A055907">
            <wp:extent cx="944880" cy="1170305"/>
            <wp:effectExtent l="0" t="0" r="7620" b="0"/>
            <wp:docPr id="6309731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1170305"/>
                    </a:xfrm>
                    <a:prstGeom prst="rect">
                      <a:avLst/>
                    </a:prstGeom>
                    <a:noFill/>
                  </pic:spPr>
                </pic:pic>
              </a:graphicData>
            </a:graphic>
          </wp:inline>
        </w:drawing>
      </w:r>
    </w:p>
    <w:p w14:paraId="6A4B4A43" w14:textId="0C38C02A" w:rsidR="00017DBE" w:rsidRPr="00CA3C57" w:rsidRDefault="00017DBE" w:rsidP="006A063F">
      <w:pPr>
        <w:pStyle w:val="SemEspaamento"/>
        <w:jc w:val="center"/>
        <w:rPr>
          <w:rFonts w:ascii="Bookman Old Style" w:hAnsi="Bookman Old Style"/>
          <w:b/>
          <w:bCs/>
        </w:rPr>
      </w:pPr>
      <w:r w:rsidRPr="00CA3C57">
        <w:rPr>
          <w:rFonts w:ascii="Bookman Old Style" w:hAnsi="Bookman Old Style"/>
          <w:b/>
          <w:bCs/>
        </w:rPr>
        <w:t>ESCLARECIMENTO (</w:t>
      </w:r>
      <w:r w:rsidR="006E74E6" w:rsidRPr="00CA3C57">
        <w:rPr>
          <w:rFonts w:ascii="Bookman Old Style" w:hAnsi="Bookman Old Style"/>
          <w:b/>
          <w:bCs/>
        </w:rPr>
        <w:t>4</w:t>
      </w:r>
      <w:r w:rsidRPr="00CA3C57">
        <w:rPr>
          <w:rFonts w:ascii="Bookman Old Style" w:hAnsi="Bookman Old Style"/>
          <w:b/>
          <w:bCs/>
        </w:rPr>
        <w:t>)</w:t>
      </w:r>
    </w:p>
    <w:p w14:paraId="32981158" w14:textId="77777777" w:rsidR="00017DBE" w:rsidRPr="006A063F" w:rsidRDefault="00017DBE" w:rsidP="006A063F">
      <w:pPr>
        <w:pStyle w:val="SemEspaamento"/>
        <w:rPr>
          <w:rFonts w:ascii="Bookman Old Style" w:hAnsi="Bookman Old Style"/>
        </w:rPr>
      </w:pPr>
    </w:p>
    <w:p w14:paraId="7E81CE03" w14:textId="62F13528" w:rsidR="00017DBE" w:rsidRPr="006A063F" w:rsidRDefault="00017DBE" w:rsidP="006A063F">
      <w:pPr>
        <w:pStyle w:val="SemEspaamento"/>
        <w:jc w:val="both"/>
        <w:rPr>
          <w:rFonts w:ascii="Bookman Old Style" w:hAnsi="Bookman Old Style" w:cstheme="minorHAnsi"/>
          <w:sz w:val="20"/>
          <w:szCs w:val="20"/>
        </w:rPr>
      </w:pPr>
      <w:r w:rsidRPr="006A063F">
        <w:rPr>
          <w:rFonts w:ascii="Bookman Old Style" w:hAnsi="Bookman Old Style" w:cstheme="minorHAnsi"/>
          <w:sz w:val="20"/>
          <w:szCs w:val="20"/>
        </w:rPr>
        <w:t>Refere-se a solicitação de esclarecimento ao PE 900</w:t>
      </w:r>
      <w:r w:rsidR="003A0BD1" w:rsidRPr="006A063F">
        <w:rPr>
          <w:rFonts w:ascii="Bookman Old Style" w:hAnsi="Bookman Old Style" w:cstheme="minorHAnsi"/>
          <w:sz w:val="20"/>
          <w:szCs w:val="20"/>
        </w:rPr>
        <w:t>11</w:t>
      </w:r>
      <w:r w:rsidRPr="006A063F">
        <w:rPr>
          <w:rFonts w:ascii="Bookman Old Style" w:hAnsi="Bookman Old Style" w:cstheme="minorHAnsi"/>
          <w:sz w:val="20"/>
          <w:szCs w:val="20"/>
        </w:rPr>
        <w:t>/2025:</w:t>
      </w:r>
    </w:p>
    <w:p w14:paraId="04DA0616" w14:textId="77777777" w:rsidR="006A063F" w:rsidRDefault="006A063F" w:rsidP="006A063F">
      <w:pPr>
        <w:pStyle w:val="SemEspaamento"/>
        <w:jc w:val="both"/>
        <w:rPr>
          <w:rFonts w:ascii="Bookman Old Style" w:hAnsi="Bookman Old Style"/>
          <w:kern w:val="0"/>
          <w:sz w:val="20"/>
          <w:szCs w:val="20"/>
          <w14:ligatures w14:val="none"/>
        </w:rPr>
      </w:pPr>
    </w:p>
    <w:p w14:paraId="0C79C7E5" w14:textId="77777777" w:rsidR="006A063F" w:rsidRDefault="006A063F" w:rsidP="006A063F">
      <w:pPr>
        <w:pStyle w:val="SemEspaamento"/>
        <w:jc w:val="both"/>
        <w:rPr>
          <w:rFonts w:ascii="Bookman Old Style" w:hAnsi="Bookman Old Style"/>
          <w:kern w:val="0"/>
          <w:sz w:val="20"/>
          <w:szCs w:val="20"/>
          <w14:ligatures w14:val="none"/>
        </w:rPr>
      </w:pPr>
    </w:p>
    <w:p w14:paraId="7830B85D" w14:textId="3B2819FD" w:rsidR="006E74E6" w:rsidRPr="006A063F" w:rsidRDefault="006E74E6" w:rsidP="006A063F">
      <w:pPr>
        <w:pStyle w:val="SemEspaamento"/>
        <w:jc w:val="both"/>
        <w:rPr>
          <w:rFonts w:ascii="Bookman Old Style" w:hAnsi="Bookman Old Style"/>
          <w:b/>
          <w:bCs/>
          <w:kern w:val="0"/>
          <w:sz w:val="20"/>
          <w:szCs w:val="20"/>
          <w14:ligatures w14:val="none"/>
        </w:rPr>
      </w:pPr>
      <w:r w:rsidRPr="006A063F">
        <w:rPr>
          <w:rFonts w:ascii="Bookman Old Style" w:hAnsi="Bookman Old Style"/>
          <w:b/>
          <w:bCs/>
          <w:kern w:val="0"/>
          <w:sz w:val="20"/>
          <w:szCs w:val="20"/>
          <w14:ligatures w14:val="none"/>
        </w:rPr>
        <w:t>Referente ao item 4.1 – REQUISITOS TÉCNICOS – GRUPO 1</w:t>
      </w:r>
    </w:p>
    <w:p w14:paraId="001DAEF7" w14:textId="77777777" w:rsidR="006E74E6" w:rsidRPr="006A063F" w:rsidRDefault="006E74E6" w:rsidP="006A063F">
      <w:pPr>
        <w:pStyle w:val="SemEspaamento"/>
        <w:jc w:val="both"/>
        <w:rPr>
          <w:rFonts w:ascii="Bookman Old Style" w:hAnsi="Bookman Old Style"/>
          <w:kern w:val="0"/>
          <w:sz w:val="20"/>
          <w:szCs w:val="20"/>
          <w14:ligatures w14:val="none"/>
        </w:rPr>
      </w:pPr>
    </w:p>
    <w:p w14:paraId="0DCDF1DB"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 edital estabelece que “a contratada deverá prover todos os equipamentos ativos e passivos necessários à disponibilização da conectividade entre os pontos remotos (462) e os pontos base (6), bem como destes com os pontos concentradores (2), utilizando infraestrutura baseada em enlaces de fibra óptica dedicados, integrados por meio de tecnologia MPLS.”</w:t>
      </w:r>
    </w:p>
    <w:p w14:paraId="30C413E9" w14:textId="77777777" w:rsidR="006E74E6" w:rsidRPr="006A063F" w:rsidRDefault="006E74E6" w:rsidP="006A063F">
      <w:pPr>
        <w:pStyle w:val="SemEspaamento"/>
        <w:jc w:val="both"/>
        <w:rPr>
          <w:rFonts w:ascii="Bookman Old Style" w:hAnsi="Bookman Old Style"/>
          <w:kern w:val="0"/>
          <w:sz w:val="20"/>
          <w:szCs w:val="20"/>
          <w14:ligatures w14:val="none"/>
        </w:rPr>
      </w:pPr>
    </w:p>
    <w:p w14:paraId="6D3CA013"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Considerando que a interligação da cidade será realizada por meio de cabos ópticos com múltiplas fibras (por exemplo, cabos de 12 ou 24 vias), solicitamos confirmação de que é permitido utilizar um único cabo óptico ao longo do trajeto para atender diversos pontos, realizando derivações das fibras conforme a necessidade em cada local.</w:t>
      </w:r>
    </w:p>
    <w:p w14:paraId="49D5E16D" w14:textId="77777777" w:rsidR="006E74E6" w:rsidRPr="006A063F" w:rsidRDefault="006E74E6" w:rsidP="006A063F">
      <w:pPr>
        <w:pStyle w:val="SemEspaamento"/>
        <w:jc w:val="both"/>
        <w:rPr>
          <w:rFonts w:ascii="Bookman Old Style" w:hAnsi="Bookman Old Style"/>
          <w:kern w:val="0"/>
          <w:sz w:val="20"/>
          <w:szCs w:val="20"/>
          <w14:ligatures w14:val="none"/>
        </w:rPr>
      </w:pPr>
    </w:p>
    <w:p w14:paraId="2D35FB6C"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Em outras palavras, entendemos que não é exigida a instalação de um cabo exclusivo para cada ponto remoto, sendo possível compartilhar o mesmo enlace físico (mesmo cabo e mesma rota) para múltiplas derivações e atendimentos.</w:t>
      </w:r>
    </w:p>
    <w:p w14:paraId="66C5543E" w14:textId="36F64C85"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b/>
          <w:bCs/>
          <w:kern w:val="0"/>
          <w:sz w:val="20"/>
          <w:szCs w:val="20"/>
          <w14:ligatures w14:val="none"/>
        </w:rPr>
        <w:t>RESPOSTA</w:t>
      </w:r>
      <w:r w:rsidRPr="006A063F">
        <w:rPr>
          <w:rFonts w:ascii="Bookman Old Style" w:hAnsi="Bookman Old Style"/>
          <w:kern w:val="0"/>
          <w:sz w:val="20"/>
          <w:szCs w:val="20"/>
          <w14:ligatures w14:val="none"/>
        </w:rPr>
        <w:t>:</w:t>
      </w:r>
    </w:p>
    <w:p w14:paraId="4C86EEDF"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Sim. O entendimento está correto. O edital não exige a instalação de um cabo óptico exclusivo para cada ponto remoto. Assim, é perfeitamente aceitável que a contratada utilize um único cabo óptico com múltiplas fibras ao longo do trajeto principal, realizando derivações para atendimento dos diversos pontos previstos.</w:t>
      </w:r>
    </w:p>
    <w:p w14:paraId="6F86C75C"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 compartilhamento da mesma rota física e do mesmo cabo para múltiplos atendimentos é compatível com a arquitetura proposta, desde que sejam observados os seguintes aspectos essenciais do serviço:</w:t>
      </w:r>
    </w:p>
    <w:p w14:paraId="209B1946"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Largura de banda contratada para cada ponto;</w:t>
      </w:r>
    </w:p>
    <w:p w14:paraId="792547DA"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Latência (</w:t>
      </w:r>
      <w:proofErr w:type="spellStart"/>
      <w:r w:rsidRPr="006A063F">
        <w:rPr>
          <w:rFonts w:ascii="Bookman Old Style" w:hAnsi="Bookman Old Style"/>
          <w:kern w:val="0"/>
          <w:sz w:val="20"/>
          <w:szCs w:val="20"/>
          <w14:ligatures w14:val="none"/>
        </w:rPr>
        <w:t>ping</w:t>
      </w:r>
      <w:proofErr w:type="spellEnd"/>
      <w:r w:rsidRPr="006A063F">
        <w:rPr>
          <w:rFonts w:ascii="Bookman Old Style" w:hAnsi="Bookman Old Style"/>
          <w:kern w:val="0"/>
          <w:sz w:val="20"/>
          <w:szCs w:val="20"/>
          <w14:ligatures w14:val="none"/>
        </w:rPr>
        <w:t>) dentro dos parâmetros exigidos;</w:t>
      </w:r>
    </w:p>
    <w:p w14:paraId="26426398"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 xml:space="preserve">Atendimento integral aos níveis de serviço estabelecidos (SLA), incluindo disponibilidade, perda de pacotes, </w:t>
      </w:r>
      <w:proofErr w:type="spellStart"/>
      <w:r w:rsidRPr="006A063F">
        <w:rPr>
          <w:rFonts w:ascii="Bookman Old Style" w:hAnsi="Bookman Old Style"/>
          <w:kern w:val="0"/>
          <w:sz w:val="20"/>
          <w:szCs w:val="20"/>
          <w14:ligatures w14:val="none"/>
        </w:rPr>
        <w:t>jitter</w:t>
      </w:r>
      <w:proofErr w:type="spellEnd"/>
      <w:r w:rsidRPr="006A063F">
        <w:rPr>
          <w:rFonts w:ascii="Bookman Old Style" w:hAnsi="Bookman Old Style"/>
          <w:kern w:val="0"/>
          <w:sz w:val="20"/>
          <w:szCs w:val="20"/>
          <w14:ligatures w14:val="none"/>
        </w:rPr>
        <w:t xml:space="preserve"> e tempo de reparo.</w:t>
      </w:r>
    </w:p>
    <w:p w14:paraId="5BF37930"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Portanto, a divisão das fibras ao longo do percurso é permitida, desde que a solução entregue os requisitos de desempenho e qualidade definidos no Edital.</w:t>
      </w:r>
    </w:p>
    <w:p w14:paraId="0AFB3C7F" w14:textId="77777777" w:rsidR="006E74E6" w:rsidRPr="006A063F" w:rsidRDefault="006E74E6" w:rsidP="006A063F">
      <w:pPr>
        <w:pStyle w:val="SemEspaamento"/>
        <w:jc w:val="both"/>
        <w:rPr>
          <w:rFonts w:ascii="Bookman Old Style" w:hAnsi="Bookman Old Style"/>
          <w:kern w:val="0"/>
          <w:sz w:val="20"/>
          <w:szCs w:val="20"/>
          <w14:ligatures w14:val="none"/>
        </w:rPr>
      </w:pPr>
    </w:p>
    <w:p w14:paraId="634C9AF1" w14:textId="77777777" w:rsidR="006E74E6" w:rsidRPr="006A063F" w:rsidRDefault="006E74E6" w:rsidP="006A063F">
      <w:pPr>
        <w:pStyle w:val="SemEspaamento"/>
        <w:jc w:val="both"/>
        <w:rPr>
          <w:rFonts w:ascii="Bookman Old Style" w:hAnsi="Bookman Old Style"/>
          <w:b/>
          <w:bCs/>
          <w:kern w:val="0"/>
          <w:sz w:val="20"/>
          <w:szCs w:val="20"/>
          <w14:ligatures w14:val="none"/>
        </w:rPr>
      </w:pPr>
      <w:r w:rsidRPr="006A063F">
        <w:rPr>
          <w:rFonts w:ascii="Bookman Old Style" w:hAnsi="Bookman Old Style"/>
          <w:b/>
          <w:bCs/>
          <w:kern w:val="0"/>
          <w:sz w:val="20"/>
          <w:szCs w:val="20"/>
          <w14:ligatures w14:val="none"/>
        </w:rPr>
        <w:t>Referente ao ITEM 2.1 – MANUTENÇÃO DE DISPOSITIVOS DE PONTO REMOTO (420 pontos):</w:t>
      </w:r>
    </w:p>
    <w:p w14:paraId="0CE10258"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Entendemos que a manutenção será executada em 420 pontos remotos. Solicitamos esclarecimento sobre a quantidade de câmeras existentes em cada ponto. Podemos considerar que cada ponto corresponde a uma única câmera, totalizando 420 câmeras, ou há pontos com mais de um dispositivo?</w:t>
      </w:r>
    </w:p>
    <w:p w14:paraId="0C72C3A4"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b/>
          <w:bCs/>
          <w:kern w:val="0"/>
          <w:sz w:val="20"/>
          <w:szCs w:val="20"/>
          <w14:ligatures w14:val="none"/>
        </w:rPr>
        <w:t>RESPOSTA</w:t>
      </w:r>
      <w:r w:rsidRPr="006A063F">
        <w:rPr>
          <w:rFonts w:ascii="Bookman Old Style" w:hAnsi="Bookman Old Style"/>
          <w:kern w:val="0"/>
          <w:sz w:val="20"/>
          <w:szCs w:val="20"/>
          <w14:ligatures w14:val="none"/>
        </w:rPr>
        <w:t xml:space="preserve">: </w:t>
      </w:r>
    </w:p>
    <w:p w14:paraId="0088AA7B"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A estimativa atual indica que, aproximadamente, 80% dos pontos remotos possuem apenas uma câmera instalada. Nos 20% restantes, há mais câmeras conectadas no mesmo ponto (pontos com duas câmeras e pontos de cercamento), compartilhando o mesmo enlace de dados para transmissão ao Centro Integrado.</w:t>
      </w:r>
    </w:p>
    <w:p w14:paraId="1600EB81"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Portanto, para fins de dimensionamento, pode-se considerar que a grande maioria dos pontos corresponde a um único dispositivo, havendo um percentual menor de locais com dois equipamentos operando sobre o mesmo link.</w:t>
      </w:r>
    </w:p>
    <w:p w14:paraId="2F23A7F0" w14:textId="77777777" w:rsidR="006E74E6" w:rsidRPr="006A063F" w:rsidRDefault="006E74E6" w:rsidP="006A063F">
      <w:pPr>
        <w:pStyle w:val="SemEspaamento"/>
        <w:jc w:val="both"/>
        <w:rPr>
          <w:rFonts w:ascii="Bookman Old Style" w:hAnsi="Bookman Old Style"/>
          <w:kern w:val="0"/>
          <w:sz w:val="20"/>
          <w:szCs w:val="20"/>
          <w14:ligatures w14:val="none"/>
        </w:rPr>
      </w:pPr>
    </w:p>
    <w:p w14:paraId="05EE5DFC"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Solicitamos esclarecimento quanto à quantidade de vias da fibra óptica a ser utilizada.</w:t>
      </w:r>
    </w:p>
    <w:p w14:paraId="24983E14"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 edital não especifica o número mínimo de fibras (vias) exigido para os cabos ópticos, nem informa se há um padrão obrigatório (ex.: 12, 24, 36 vias ou outro). Diante disso, pedimos confirmação de qual quantidade de vias deve ser adotada para atender integralmente às necessidades do projeto, ou se a definição ficará a critério da contratada, desde que assegurada a plena funcionalidade e capacidade da solução.</w:t>
      </w:r>
    </w:p>
    <w:p w14:paraId="0A336218"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b/>
          <w:bCs/>
          <w:kern w:val="0"/>
          <w:sz w:val="20"/>
          <w:szCs w:val="20"/>
          <w14:ligatures w14:val="none"/>
        </w:rPr>
        <w:t>RESPOSTA</w:t>
      </w:r>
      <w:r w:rsidRPr="006A063F">
        <w:rPr>
          <w:rFonts w:ascii="Bookman Old Style" w:hAnsi="Bookman Old Style"/>
          <w:kern w:val="0"/>
          <w:sz w:val="20"/>
          <w:szCs w:val="20"/>
          <w14:ligatures w14:val="none"/>
        </w:rPr>
        <w:t>:</w:t>
      </w:r>
    </w:p>
    <w:p w14:paraId="6E2A391B"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A quantidade de vias do cabo óptico fica a critério da contratada, não havendo, no Edital, especificação de um número mínimo obrigatório de fibras. A solução adotada deve, contudo, garantir o atendimento integral de todos os pontos previstos, bem como cumprir todos os requisitos de desempenho, disponibilidade e qualidade estabelecidos, incluindo capacidade de expansão, redundância (quando aplicável) e plena funcionalidade do enlace.</w:t>
      </w:r>
    </w:p>
    <w:p w14:paraId="64DDAD3A" w14:textId="77777777" w:rsidR="006A063F" w:rsidRPr="006A063F" w:rsidRDefault="006A063F" w:rsidP="006A063F">
      <w:pPr>
        <w:pStyle w:val="SemEspaamento"/>
        <w:jc w:val="both"/>
        <w:rPr>
          <w:rFonts w:ascii="Bookman Old Style" w:hAnsi="Bookman Old Style"/>
          <w:kern w:val="0"/>
          <w:sz w:val="20"/>
          <w:szCs w:val="20"/>
          <w14:ligatures w14:val="none"/>
        </w:rPr>
      </w:pPr>
    </w:p>
    <w:p w14:paraId="7F923B36" w14:textId="77777777" w:rsidR="006E74E6" w:rsidRPr="006A063F" w:rsidRDefault="006E74E6" w:rsidP="006A063F">
      <w:pPr>
        <w:pStyle w:val="SemEspaamento"/>
        <w:jc w:val="both"/>
        <w:rPr>
          <w:rFonts w:ascii="Bookman Old Style" w:hAnsi="Bookman Old Style"/>
          <w:kern w:val="0"/>
          <w:sz w:val="20"/>
          <w:szCs w:val="20"/>
          <w14:ligatures w14:val="none"/>
        </w:rPr>
      </w:pPr>
    </w:p>
    <w:p w14:paraId="27F67E6E" w14:textId="77777777" w:rsidR="006E74E6" w:rsidRPr="006A063F" w:rsidRDefault="006E74E6" w:rsidP="006A063F">
      <w:pPr>
        <w:pStyle w:val="SemEspaamento"/>
        <w:jc w:val="both"/>
        <w:rPr>
          <w:rFonts w:ascii="Bookman Old Style" w:hAnsi="Bookman Old Style"/>
          <w:kern w:val="0"/>
          <w:sz w:val="20"/>
          <w:szCs w:val="20"/>
          <w14:ligatures w14:val="none"/>
        </w:rPr>
      </w:pPr>
    </w:p>
    <w:p w14:paraId="29CFFDE0" w14:textId="77777777" w:rsidR="006E74E6" w:rsidRPr="006A063F" w:rsidRDefault="006E74E6" w:rsidP="006A063F">
      <w:pPr>
        <w:pStyle w:val="SemEspaamento"/>
        <w:jc w:val="both"/>
        <w:rPr>
          <w:rFonts w:ascii="Bookman Old Style" w:hAnsi="Bookman Old Style"/>
          <w:b/>
          <w:bCs/>
          <w:kern w:val="0"/>
          <w:sz w:val="20"/>
          <w:szCs w:val="20"/>
          <w14:ligatures w14:val="none"/>
        </w:rPr>
      </w:pPr>
      <w:r w:rsidRPr="006A063F">
        <w:rPr>
          <w:rFonts w:ascii="Bookman Old Style" w:hAnsi="Bookman Old Style"/>
          <w:b/>
          <w:bCs/>
          <w:kern w:val="0"/>
          <w:sz w:val="20"/>
          <w:szCs w:val="20"/>
          <w14:ligatures w14:val="none"/>
        </w:rPr>
        <w:t>Referente ao ITEM 1.4 – SUPORTE ASSISTIDO (470 pontos):</w:t>
      </w:r>
    </w:p>
    <w:p w14:paraId="2B4B40E2"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 edital apresenta três quantitativos diferentes, o que gera dúvida sobre o real escopo de dispositivos que estarão sob nossa responsabilidade:</w:t>
      </w:r>
    </w:p>
    <w:p w14:paraId="0104F506" w14:textId="77777777" w:rsidR="006E74E6" w:rsidRPr="006A063F" w:rsidRDefault="006E74E6" w:rsidP="006A063F">
      <w:pPr>
        <w:pStyle w:val="SemEspaamento"/>
        <w:jc w:val="both"/>
        <w:rPr>
          <w:rFonts w:ascii="Bookman Old Style" w:eastAsia="Times New Roman" w:hAnsi="Bookman Old Style" w:cs="Times New Roman"/>
          <w:kern w:val="0"/>
          <w:sz w:val="20"/>
          <w:szCs w:val="20"/>
          <w:lang w:eastAsia="pt-BR"/>
          <w14:ligatures w14:val="none"/>
        </w:rPr>
      </w:pPr>
      <w:r w:rsidRPr="006A063F">
        <w:rPr>
          <w:rFonts w:ascii="Bookman Old Style" w:eastAsia="Times New Roman" w:hAnsi="Bookman Old Style" w:cs="Times New Roman"/>
          <w:kern w:val="0"/>
          <w:sz w:val="20"/>
          <w:szCs w:val="20"/>
          <w:lang w:eastAsia="pt-BR"/>
          <w14:ligatures w14:val="none"/>
        </w:rPr>
        <w:t>Grupo 01: 470 pontos (monitoramento);</w:t>
      </w:r>
    </w:p>
    <w:p w14:paraId="36388F44" w14:textId="77777777" w:rsidR="006E74E6" w:rsidRPr="006A063F" w:rsidRDefault="006E74E6" w:rsidP="006A063F">
      <w:pPr>
        <w:pStyle w:val="SemEspaamento"/>
        <w:jc w:val="both"/>
        <w:rPr>
          <w:rFonts w:ascii="Bookman Old Style" w:eastAsia="Times New Roman" w:hAnsi="Bookman Old Style" w:cs="Times New Roman"/>
          <w:kern w:val="0"/>
          <w:sz w:val="20"/>
          <w:szCs w:val="20"/>
          <w:lang w:eastAsia="pt-BR"/>
          <w14:ligatures w14:val="none"/>
        </w:rPr>
      </w:pPr>
      <w:r w:rsidRPr="006A063F">
        <w:rPr>
          <w:rFonts w:ascii="Bookman Old Style" w:eastAsia="Times New Roman" w:hAnsi="Bookman Old Style" w:cs="Times New Roman"/>
          <w:kern w:val="0"/>
          <w:sz w:val="20"/>
          <w:szCs w:val="20"/>
          <w:lang w:eastAsia="pt-BR"/>
          <w14:ligatures w14:val="none"/>
        </w:rPr>
        <w:t>Grupo 02: 420 pontos (manutenção de pontos remotos);</w:t>
      </w:r>
    </w:p>
    <w:p w14:paraId="32DD045D" w14:textId="77777777" w:rsidR="006E74E6" w:rsidRPr="006A063F" w:rsidRDefault="006E74E6" w:rsidP="006A063F">
      <w:pPr>
        <w:pStyle w:val="SemEspaamento"/>
        <w:jc w:val="both"/>
        <w:rPr>
          <w:rFonts w:ascii="Bookman Old Style" w:eastAsia="Times New Roman" w:hAnsi="Bookman Old Style" w:cs="Times New Roman"/>
          <w:kern w:val="0"/>
          <w:sz w:val="20"/>
          <w:szCs w:val="20"/>
          <w:lang w:eastAsia="pt-BR"/>
          <w14:ligatures w14:val="none"/>
        </w:rPr>
      </w:pPr>
      <w:r w:rsidRPr="006A063F">
        <w:rPr>
          <w:rFonts w:ascii="Bookman Old Style" w:eastAsia="Times New Roman" w:hAnsi="Bookman Old Style" w:cs="Times New Roman"/>
          <w:kern w:val="0"/>
          <w:sz w:val="20"/>
          <w:szCs w:val="20"/>
          <w:lang w:eastAsia="pt-BR"/>
          <w14:ligatures w14:val="none"/>
        </w:rPr>
        <w:t>Grupo 03: 200 câmeras (a serem fornecidas).</w:t>
      </w:r>
    </w:p>
    <w:p w14:paraId="63FD2EDD"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Diante disso, solicitamos esclarecimento:</w:t>
      </w:r>
    </w:p>
    <w:p w14:paraId="02FBAE47" w14:textId="77777777" w:rsidR="006E74E6" w:rsidRPr="006A063F" w:rsidRDefault="006E74E6" w:rsidP="006A063F">
      <w:pPr>
        <w:pStyle w:val="SemEspaamento"/>
        <w:jc w:val="both"/>
        <w:rPr>
          <w:rFonts w:ascii="Bookman Old Style" w:eastAsia="Times New Roman" w:hAnsi="Bookman Old Style" w:cs="Times New Roman"/>
          <w:kern w:val="0"/>
          <w:sz w:val="20"/>
          <w:szCs w:val="20"/>
          <w:lang w:eastAsia="pt-BR"/>
          <w14:ligatures w14:val="none"/>
        </w:rPr>
      </w:pPr>
      <w:r w:rsidRPr="006A063F">
        <w:rPr>
          <w:rFonts w:ascii="Bookman Old Style" w:eastAsia="Times New Roman" w:hAnsi="Bookman Old Style" w:cs="Times New Roman"/>
          <w:kern w:val="0"/>
          <w:sz w:val="20"/>
          <w:szCs w:val="20"/>
          <w:lang w:eastAsia="pt-BR"/>
          <w14:ligatures w14:val="none"/>
        </w:rPr>
        <w:t>Os 470 pontos do SUPORTE ASSISTIDO incluem as câmeras já existentes na cidade?</w:t>
      </w:r>
      <w:r w:rsidRPr="006A063F">
        <w:rPr>
          <w:rFonts w:ascii="Bookman Old Style" w:eastAsia="Times New Roman" w:hAnsi="Bookman Old Style" w:cs="Times New Roman"/>
          <w:kern w:val="0"/>
          <w:sz w:val="20"/>
          <w:szCs w:val="20"/>
          <w:lang w:eastAsia="pt-BR"/>
          <w14:ligatures w14:val="none"/>
        </w:rPr>
        <w:br/>
        <w:t>Caso sim, qual é a quantidade de câmeras atualmente instaladas?</w:t>
      </w:r>
    </w:p>
    <w:p w14:paraId="0C59930B" w14:textId="77777777" w:rsidR="006E74E6" w:rsidRPr="006A063F" w:rsidRDefault="006E74E6" w:rsidP="006A063F">
      <w:pPr>
        <w:pStyle w:val="SemEspaamento"/>
        <w:jc w:val="both"/>
        <w:rPr>
          <w:rFonts w:ascii="Bookman Old Style" w:eastAsia="Times New Roman" w:hAnsi="Bookman Old Style" w:cs="Times New Roman"/>
          <w:kern w:val="0"/>
          <w:sz w:val="20"/>
          <w:szCs w:val="20"/>
          <w:lang w:eastAsia="pt-BR"/>
          <w14:ligatures w14:val="none"/>
        </w:rPr>
      </w:pPr>
      <w:r w:rsidRPr="006A063F">
        <w:rPr>
          <w:rFonts w:ascii="Bookman Old Style" w:eastAsia="Times New Roman" w:hAnsi="Bookman Old Style" w:cs="Times New Roman"/>
          <w:kern w:val="0"/>
          <w:sz w:val="20"/>
          <w:szCs w:val="20"/>
          <w:lang w:eastAsia="pt-BR"/>
          <w14:ligatures w14:val="none"/>
        </w:rPr>
        <w:t>Adicionalmente, pedimos confirmação de como os números 470, 420 e 200 se relacionam entre si:</w:t>
      </w:r>
      <w:r w:rsidRPr="006A063F">
        <w:rPr>
          <w:rFonts w:ascii="Bookman Old Style" w:eastAsia="Times New Roman" w:hAnsi="Bookman Old Style" w:cs="Times New Roman"/>
          <w:kern w:val="0"/>
          <w:sz w:val="20"/>
          <w:szCs w:val="20"/>
          <w:lang w:eastAsia="pt-BR"/>
          <w14:ligatures w14:val="none"/>
        </w:rPr>
        <w:br/>
        <w:t>– Os 420 pontos de manutenção fazem parte dos 470 pontos de suporte?</w:t>
      </w:r>
      <w:r w:rsidRPr="006A063F">
        <w:rPr>
          <w:rFonts w:ascii="Bookman Old Style" w:eastAsia="Times New Roman" w:hAnsi="Bookman Old Style" w:cs="Times New Roman"/>
          <w:kern w:val="0"/>
          <w:sz w:val="20"/>
          <w:szCs w:val="20"/>
          <w:lang w:eastAsia="pt-BR"/>
          <w14:ligatures w14:val="none"/>
        </w:rPr>
        <w:br/>
        <w:t>– As 200 câmeras novas compõem ou se somam ao total de pontos monitorados?</w:t>
      </w:r>
    </w:p>
    <w:p w14:paraId="636AB7C8"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Solicitamos que o órgão esclareça quantas câmeras, no total, farão parte do escopo de monitoramento e suporte da contratada.</w:t>
      </w:r>
    </w:p>
    <w:p w14:paraId="7A0A00E8"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b/>
          <w:bCs/>
          <w:sz w:val="20"/>
          <w:szCs w:val="20"/>
        </w:rPr>
        <w:t>RESPOSTA</w:t>
      </w:r>
      <w:r w:rsidRPr="006A063F">
        <w:rPr>
          <w:rFonts w:ascii="Bookman Old Style" w:hAnsi="Bookman Old Style"/>
          <w:sz w:val="20"/>
          <w:szCs w:val="20"/>
        </w:rPr>
        <w:t>:</w:t>
      </w:r>
    </w:p>
    <w:p w14:paraId="444F331B"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Sim. Os 470 pontos previstos no SUPORTE ASSISTIDO incluem a conectividade destinada a todos os pontos de link de conectividade, contemplando tanto câmeras já existentes quanto futuras ativações. Contudo, não é possível precisar, neste momento, a quantidade exata de câmeras atualmente em funcionamento, em razão de fatores como depredações, furtos, falhas de infraestrutura e pontos temporariamente sem conectividade.</w:t>
      </w:r>
    </w:p>
    <w:p w14:paraId="2D687ABC"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Dessa forma, a empresa vencedora do Grupo 2 será responsável pela verificação em campo, levantamento atualizado e regularização dos pontos, incluindo a eventual substituição ou instalação de novas câmeras e caixas herméticas, conforme os quantitativos previstos no Grupo 3.</w:t>
      </w:r>
    </w:p>
    <w:p w14:paraId="1C3955AA"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A diferença entre os quantitativos de 470 e 420 pontos ocorre porque:</w:t>
      </w:r>
    </w:p>
    <w:p w14:paraId="5E982CA7"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Os 470 pontos referem-se aos pontos de conectividade a serem atendidos;</w:t>
      </w:r>
    </w:p>
    <w:p w14:paraId="0EF5F0F7"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Destes, 50 pontos são destinados aos cercos eletrônicos, cuja manutenção física não é de responsabilidade da contratada do Grupo 2;</w:t>
      </w:r>
    </w:p>
    <w:p w14:paraId="0C29F599"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Assim, restam 420 pontos sob responsabilidade de manutenção remota e presencial da empresa vencedora deste grupo.</w:t>
      </w:r>
    </w:p>
    <w:p w14:paraId="40BF9518"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Quanto às 200 câmeras do Grupo 3, estas serão utilizadas para:</w:t>
      </w:r>
    </w:p>
    <w:p w14:paraId="10C7A17F"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Renovação de parte do parque tecnológico atual;</w:t>
      </w:r>
    </w:p>
    <w:p w14:paraId="558B4E91"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Reposição de unidades furtadas, vandalizadas ou inoperantes;</w:t>
      </w:r>
    </w:p>
    <w:p w14:paraId="5C51EAD0"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Complemento da infraestrutura existente, quando necessário.</w:t>
      </w:r>
    </w:p>
    <w:p w14:paraId="4DAA1B1B"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Em síntese:</w:t>
      </w:r>
    </w:p>
    <w:p w14:paraId="11DECA15"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Os 420 pontos de manutenção estão contidos nos 470 pontos de conectividade;</w:t>
      </w:r>
    </w:p>
    <w:p w14:paraId="2AFB30FE"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Os 50 pontos restantes são pontos de cercamento eletrônico com manutenção atribuída a outra empresa;</w:t>
      </w:r>
    </w:p>
    <w:p w14:paraId="01933DF2"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As 200 câmeras novas não se somam aos 470 pontos, mas aprimoram e recompõem o parque já existente.</w:t>
      </w:r>
    </w:p>
    <w:p w14:paraId="08BC0CD6" w14:textId="77777777" w:rsidR="006A063F" w:rsidRPr="006A063F" w:rsidRDefault="006A063F" w:rsidP="006A063F">
      <w:pPr>
        <w:pStyle w:val="SemEspaamento"/>
        <w:jc w:val="both"/>
        <w:rPr>
          <w:rFonts w:ascii="Bookman Old Style" w:hAnsi="Bookman Old Style"/>
          <w:sz w:val="20"/>
          <w:szCs w:val="20"/>
        </w:rPr>
      </w:pPr>
    </w:p>
    <w:p w14:paraId="101959A1" w14:textId="77777777" w:rsidR="006E74E6" w:rsidRPr="006A063F" w:rsidRDefault="006E74E6" w:rsidP="006A063F">
      <w:pPr>
        <w:pStyle w:val="SemEspaamento"/>
        <w:jc w:val="both"/>
        <w:rPr>
          <w:rFonts w:ascii="Bookman Old Style" w:hAnsi="Bookman Old Style"/>
          <w:kern w:val="0"/>
          <w:sz w:val="20"/>
          <w:szCs w:val="20"/>
          <w14:ligatures w14:val="none"/>
        </w:rPr>
      </w:pPr>
    </w:p>
    <w:p w14:paraId="379021D9" w14:textId="77777777" w:rsidR="006E74E6" w:rsidRPr="006A063F" w:rsidRDefault="006E74E6" w:rsidP="006A063F">
      <w:pPr>
        <w:pStyle w:val="SemEspaamento"/>
        <w:jc w:val="both"/>
        <w:rPr>
          <w:rFonts w:ascii="Bookman Old Style" w:hAnsi="Bookman Old Style"/>
          <w:b/>
          <w:bCs/>
          <w:kern w:val="0"/>
          <w:sz w:val="20"/>
          <w:szCs w:val="20"/>
          <w14:ligatures w14:val="none"/>
        </w:rPr>
      </w:pPr>
      <w:r w:rsidRPr="006A063F">
        <w:rPr>
          <w:rFonts w:ascii="Bookman Old Style" w:hAnsi="Bookman Old Style"/>
          <w:b/>
          <w:bCs/>
          <w:kern w:val="0"/>
          <w:sz w:val="20"/>
          <w:szCs w:val="20"/>
          <w14:ligatures w14:val="none"/>
        </w:rPr>
        <w:t>Referente ao item 4.1 – REQUISITOS TÉCNICOS – GRUPO 1:</w:t>
      </w:r>
    </w:p>
    <w:p w14:paraId="2F6F49B1"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 edital estabelece que a contratada deverá prover a conectividade para 462 pontos remotos no Grupo 01.</w:t>
      </w:r>
    </w:p>
    <w:p w14:paraId="5B6AC631"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Entretanto, no Grupo 03 está previsto o fornecimento de apenas 200 câmeras.</w:t>
      </w:r>
    </w:p>
    <w:p w14:paraId="2A423D2A"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Diante disso, solicitamos esclarecimento sobre a seguinte divergência:</w:t>
      </w:r>
    </w:p>
    <w:p w14:paraId="4A31354C"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Se há 462 pontos remotos a serem interligados, mas apenas 200 câmeras serão fornecidas no Grupo 03, os demais pontos remotos não possuirão câmera?</w:t>
      </w:r>
      <w:r w:rsidRPr="006A063F">
        <w:rPr>
          <w:rFonts w:ascii="Bookman Old Style" w:hAnsi="Bookman Old Style"/>
          <w:kern w:val="0"/>
          <w:sz w:val="20"/>
          <w:szCs w:val="20"/>
          <w14:ligatures w14:val="none"/>
        </w:rPr>
        <w:br/>
        <w:t>Em caso afirmativo, pedimos detalhamento sobre qual será a função desses pontos restantes e como deverá ocorrer a conectividade para eles, uma vez que não está claro quais equipamentos estarão presentes nos demais pontos além das câmeras fornecidas.</w:t>
      </w:r>
    </w:p>
    <w:p w14:paraId="5CD6718F"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Pedimos, portanto, esclarecimento sobre como os 462 pontos do Grupo 01 se relacionam com as 200 câmeras do Grupo 03 e qual é o escopo real de dispositivos instalados em cada ponto remoto.</w:t>
      </w:r>
    </w:p>
    <w:p w14:paraId="1AD9067C" w14:textId="21E26A3A"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b/>
          <w:bCs/>
          <w:sz w:val="20"/>
          <w:szCs w:val="20"/>
        </w:rPr>
        <w:t>RESPOSTA</w:t>
      </w:r>
      <w:r w:rsidRPr="006A063F">
        <w:rPr>
          <w:rFonts w:ascii="Bookman Old Style" w:hAnsi="Bookman Old Style"/>
          <w:sz w:val="20"/>
          <w:szCs w:val="20"/>
        </w:rPr>
        <w:t xml:space="preserve">: </w:t>
      </w:r>
      <w:r w:rsidRPr="006A063F">
        <w:rPr>
          <w:rFonts w:ascii="Bookman Old Style" w:hAnsi="Bookman Old Style"/>
          <w:sz w:val="20"/>
          <w:szCs w:val="20"/>
        </w:rPr>
        <w:br/>
        <w:t>Conforme informado anteriormente, a grande maioria dos pontos remotos já possui câmera instalada e em funcionamento. O quantitativo de 200 câmeras previsto no Grupo 03 não corresponde ao total de dispositivos da cidade, mas sim ao número de unidades destinadas exclusivamente para substituições e recomposições.</w:t>
      </w:r>
    </w:p>
    <w:p w14:paraId="12DA9253"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Essas 200 câmeras serão utilizadas para:</w:t>
      </w:r>
    </w:p>
    <w:p w14:paraId="662C345F"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Troca de equipamentos depredados ou furtados;</w:t>
      </w:r>
    </w:p>
    <w:p w14:paraId="48E1FF85"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Substituição de câmeras que não estão operando;</w:t>
      </w:r>
    </w:p>
    <w:p w14:paraId="21147772"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Reposição em pontos onde a infraestrutura existe, mas o dispositivo está ausente ou inoperante.</w:t>
      </w:r>
    </w:p>
    <w:p w14:paraId="293719FF"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Portanto, a existência de 462 pontos de conectividade não implica que todos receberão câmeras novas, pois a maior parte dos pontos já conta com dispositivos instalados. O lote de 200 câmeras servirá para manter a continuidade do videomonitoramento, garantindo a integridade e a recuperação do parque tecnológico atual.</w:t>
      </w:r>
    </w:p>
    <w:p w14:paraId="29CF69B2" w14:textId="77777777" w:rsidR="006E74E6" w:rsidRPr="006A063F" w:rsidRDefault="006E74E6" w:rsidP="006A063F">
      <w:pPr>
        <w:pStyle w:val="SemEspaamento"/>
        <w:jc w:val="both"/>
        <w:rPr>
          <w:rFonts w:ascii="Bookman Old Style" w:hAnsi="Bookman Old Style"/>
          <w:kern w:val="0"/>
          <w:sz w:val="20"/>
          <w:szCs w:val="20"/>
          <w14:ligatures w14:val="none"/>
        </w:rPr>
      </w:pPr>
    </w:p>
    <w:p w14:paraId="151696FA" w14:textId="77777777" w:rsidR="006E74E6" w:rsidRPr="006A063F" w:rsidRDefault="006E74E6" w:rsidP="006A063F">
      <w:pPr>
        <w:pStyle w:val="SemEspaamento"/>
        <w:jc w:val="both"/>
        <w:rPr>
          <w:rFonts w:ascii="Bookman Old Style" w:hAnsi="Bookman Old Style"/>
          <w:kern w:val="0"/>
          <w:sz w:val="20"/>
          <w:szCs w:val="20"/>
          <w14:ligatures w14:val="none"/>
        </w:rPr>
      </w:pPr>
    </w:p>
    <w:p w14:paraId="1EAAA8F9" w14:textId="77777777" w:rsidR="006E74E6" w:rsidRPr="006A063F" w:rsidRDefault="006E74E6" w:rsidP="006A063F">
      <w:pPr>
        <w:pStyle w:val="SemEspaamento"/>
        <w:jc w:val="both"/>
        <w:rPr>
          <w:rFonts w:ascii="Bookman Old Style" w:hAnsi="Bookman Old Style"/>
          <w:b/>
          <w:bCs/>
          <w:kern w:val="0"/>
          <w:sz w:val="20"/>
          <w:szCs w:val="20"/>
          <w14:ligatures w14:val="none"/>
        </w:rPr>
      </w:pPr>
      <w:r w:rsidRPr="006A063F">
        <w:rPr>
          <w:rFonts w:ascii="Bookman Old Style" w:hAnsi="Bookman Old Style"/>
          <w:b/>
          <w:bCs/>
          <w:kern w:val="0"/>
          <w:sz w:val="20"/>
          <w:szCs w:val="20"/>
          <w14:ligatures w14:val="none"/>
        </w:rPr>
        <w:t>Referente ao Grupo 03 – 200 Pontos de Câmera:</w:t>
      </w:r>
    </w:p>
    <w:p w14:paraId="14211C1F"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 edital prevê a implantação de 200 pontos de câmera, porém indica o fornecimento de apenas 40 postes e 200 caixas herméticas.</w:t>
      </w:r>
    </w:p>
    <w:p w14:paraId="55408590"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Diante disso, solicitamos esclarecimento sobre a distribuição desses pontos:</w:t>
      </w:r>
    </w:p>
    <w:p w14:paraId="2750B6E9"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Os 200 pontos de câmera serão instalados em 40 postes já previstos no edital (totalizando 5 câmeras por poste)?</w:t>
      </w:r>
      <w:r w:rsidRPr="006A063F">
        <w:rPr>
          <w:rFonts w:ascii="Bookman Old Style" w:hAnsi="Bookman Old Style"/>
          <w:kern w:val="0"/>
          <w:sz w:val="20"/>
          <w:szCs w:val="20"/>
          <w14:ligatures w14:val="none"/>
        </w:rPr>
        <w:br/>
        <w:t>Ou, alternativamente, existem 160 postes adicionais já instalados na cidade, onde também serão fixados os demais pontos de câmera?</w:t>
      </w:r>
    </w:p>
    <w:p w14:paraId="5E85DB10"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Pedimos que o órgão esclareça qual interpretação está correta e, se aplicável, informe se os postes existentes atendem às condições necessárias (altura, estrutura e disponibilidade elétrica) para instalação dos equipamentos.</w:t>
      </w:r>
    </w:p>
    <w:p w14:paraId="1984F7CE"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b/>
          <w:bCs/>
          <w:sz w:val="20"/>
          <w:szCs w:val="20"/>
        </w:rPr>
        <w:t>RESPOSTA</w:t>
      </w:r>
      <w:r w:rsidRPr="006A063F">
        <w:rPr>
          <w:rFonts w:ascii="Bookman Old Style" w:hAnsi="Bookman Old Style"/>
          <w:sz w:val="20"/>
          <w:szCs w:val="20"/>
        </w:rPr>
        <w:t xml:space="preserve">: </w:t>
      </w:r>
    </w:p>
    <w:p w14:paraId="70DDAAC3"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Conforme já explicado, todos os pontos de videomonitoramento foram originalmente instalados em postes já existentes na cidade. O edital prevê o fornecimento e a instalação de 40 postes metálicos, porém não para suportar os 200 pontos novos, e sim para atender situações específicas, tais como:</w:t>
      </w:r>
    </w:p>
    <w:p w14:paraId="02ECF833"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Substituição de pontos onde a visada atual do poste existente não atende mais aos requisitos operacionais;</w:t>
      </w:r>
    </w:p>
    <w:p w14:paraId="57FA6BA8"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Remanejamento de câmeras ou enlaces em locais onde não exista poste adequado ou onde a estrutura existente esteja comprometida;</w:t>
      </w:r>
    </w:p>
    <w:p w14:paraId="3D00EF8A"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Correções de posicionamento para melhoria de cobertura ou eliminação de obstruções.</w:t>
      </w:r>
    </w:p>
    <w:p w14:paraId="67F25400"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Portanto, não se trata de instalar 200 câmeras em 40 postes, mas sim de utilizar estes 40 postes como infraestrutura complementar, aplicável somente nos casos em que os postes existentes não atendam mais às necessidades técnicas.</w:t>
      </w:r>
    </w:p>
    <w:p w14:paraId="568D8028"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Atualmente, a grande maioria dos postes utilizados para as câmeras permanece adequada, embora existam pontos isolados com problemas estruturais decorrentes de vandalismo ou depredação, que representam minoria.</w:t>
      </w:r>
    </w:p>
    <w:p w14:paraId="0D7A578D"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lastRenderedPageBreak/>
        <w:t>Quanto às condições elétricas, apenas uma vistoria completa, a ser executado pela contratada do Grupo 2, poderá identificar de forma precisa quais pontos apresentam deficiência de alimentação. No entanto, a Prefeitura possui convênio com a concessionária de energia, garantindo viabilidade de ligação elétrica nos pontos que necessitarem de regularização.</w:t>
      </w:r>
    </w:p>
    <w:p w14:paraId="5031ED85" w14:textId="77777777" w:rsidR="006E74E6" w:rsidRPr="006A063F" w:rsidRDefault="006E74E6" w:rsidP="006A063F">
      <w:pPr>
        <w:pStyle w:val="SemEspaamento"/>
        <w:jc w:val="both"/>
        <w:rPr>
          <w:rFonts w:ascii="Bookman Old Style" w:hAnsi="Bookman Old Style"/>
          <w:kern w:val="0"/>
          <w:sz w:val="20"/>
          <w:szCs w:val="20"/>
          <w14:ligatures w14:val="none"/>
        </w:rPr>
      </w:pPr>
    </w:p>
    <w:p w14:paraId="2671F90F"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b/>
          <w:bCs/>
          <w:kern w:val="0"/>
          <w:sz w:val="20"/>
          <w:szCs w:val="20"/>
          <w14:ligatures w14:val="none"/>
        </w:rPr>
        <w:t>Referente ao item 4.1 – REQUISITOS TÉCNICOS – GRUPO 1</w:t>
      </w:r>
      <w:r w:rsidRPr="006A063F">
        <w:rPr>
          <w:rFonts w:ascii="Bookman Old Style" w:hAnsi="Bookman Old Style"/>
          <w:kern w:val="0"/>
          <w:sz w:val="20"/>
          <w:szCs w:val="20"/>
          <w14:ligatures w14:val="none"/>
        </w:rPr>
        <w:t>:</w:t>
      </w:r>
      <w:r w:rsidRPr="006A063F">
        <w:rPr>
          <w:rFonts w:ascii="Bookman Old Style" w:hAnsi="Bookman Old Style"/>
          <w:kern w:val="0"/>
          <w:sz w:val="20"/>
          <w:szCs w:val="20"/>
          <w14:ligatures w14:val="none"/>
        </w:rPr>
        <w:br/>
        <w:t>O edital estabelece que a contratada deverá prover a conectividade para 462 pontos remotos.</w:t>
      </w:r>
    </w:p>
    <w:p w14:paraId="7D6C83F2"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Solicitamos confirmação quanto ao escopo de infraestrutura física desses pontos.</w:t>
      </w:r>
    </w:p>
    <w:p w14:paraId="470ED067"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Podemos considerar que todos os elementos estruturais, como postes, caixas, eletrodutos, dutos e suportes, já existem e serão disponibilizados pelo município, cabendo à contratada apenas a implantação da solução de conectividade óptica (fibra, acessórios e equipamentos ativos e passivos)?</w:t>
      </w:r>
    </w:p>
    <w:p w14:paraId="1E5DD211"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Em outras palavras, pedimos esclarecimento se, para esses 462 pontos, não há necessidade de instalação de novos postes, caixas ou qualquer infraestrutura civil adicional, limitando-se a responsabilidade da contratada à parte de comunicação via fibra óptica.</w:t>
      </w:r>
    </w:p>
    <w:p w14:paraId="6A8DE482" w14:textId="55F5D0CE"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b/>
          <w:bCs/>
          <w:kern w:val="0"/>
          <w:sz w:val="20"/>
          <w:szCs w:val="20"/>
          <w14:ligatures w14:val="none"/>
        </w:rPr>
        <w:t>RESPOSTA</w:t>
      </w:r>
      <w:r w:rsidRPr="006A063F">
        <w:rPr>
          <w:rFonts w:ascii="Bookman Old Style" w:hAnsi="Bookman Old Style"/>
          <w:kern w:val="0"/>
          <w:sz w:val="20"/>
          <w:szCs w:val="20"/>
          <w14:ligatures w14:val="none"/>
        </w:rPr>
        <w:t xml:space="preserve">: </w:t>
      </w:r>
      <w:r w:rsidRPr="006A063F">
        <w:rPr>
          <w:rFonts w:ascii="Bookman Old Style" w:hAnsi="Bookman Old Style"/>
          <w:kern w:val="0"/>
          <w:sz w:val="20"/>
          <w:szCs w:val="20"/>
          <w14:ligatures w14:val="none"/>
        </w:rPr>
        <w:br/>
        <w:t>Conforme previsto no Edital, trata-se de uma contratação dividida em três grupos, com responsabilidades complementares entre si:</w:t>
      </w:r>
    </w:p>
    <w:p w14:paraId="60842FF5"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Grupo 1 – Responsável pela implantação e manutenção dos enlaces de conectividade, incluindo toda a solução óptica (fibra, acessórios, equipamentos ativos e passivos).</w:t>
      </w:r>
    </w:p>
    <w:p w14:paraId="4A30B6F3"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Grupo 2 – Responsável pela vistoria completa do parque tecnológico existente, bem como pela manutenção, instalação, substituição e ativação das câmeras e demais dispositivos de campo.</w:t>
      </w:r>
    </w:p>
    <w:p w14:paraId="49E7662A"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Grupo 3 – Fornecimento dos equipamentos (câmeras, caixas herméticas, etc.).</w:t>
      </w:r>
    </w:p>
    <w:p w14:paraId="4D472396"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No que se refere especificamente aos 462 pontos remotos do Grupo 1, esclarecemos que:</w:t>
      </w:r>
    </w:p>
    <w:p w14:paraId="3D2D1286"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A responsabilidade da contratada do Grupo 1 está limitada à entrega do enlace óptico no ponto designado, conectando-se à caixa hermética já existente na maior parte dos locais. Não é prevista, no escopo do Grupo 1, a instalação de novos postes, caixas, eletrodutos, dutos ou demais elementos de infraestrutura civil — salvo situações muito específicas decorrentes do próprio projeto de rede, quando tecnicamente indispensáveis para a continuidade do enlace.</w:t>
      </w:r>
    </w:p>
    <w:p w14:paraId="052C8124"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 xml:space="preserve">O Grupo 2 será responsável por todas as ações relacionadas à infraestrutura dos dispositivos finais (câmeras), incluindo eventuais adequações, substituições ou correções identificadas durante o </w:t>
      </w:r>
      <w:proofErr w:type="spellStart"/>
      <w:r w:rsidRPr="006A063F">
        <w:rPr>
          <w:rFonts w:ascii="Bookman Old Style" w:hAnsi="Bookman Old Style"/>
          <w:kern w:val="0"/>
          <w:sz w:val="20"/>
          <w:szCs w:val="20"/>
          <w14:ligatures w14:val="none"/>
        </w:rPr>
        <w:t>survey</w:t>
      </w:r>
      <w:proofErr w:type="spellEnd"/>
      <w:r w:rsidRPr="006A063F">
        <w:rPr>
          <w:rFonts w:ascii="Bookman Old Style" w:hAnsi="Bookman Old Style"/>
          <w:kern w:val="0"/>
          <w:sz w:val="20"/>
          <w:szCs w:val="20"/>
          <w14:ligatures w14:val="none"/>
        </w:rPr>
        <w:t xml:space="preserve"> técnico.</w:t>
      </w:r>
    </w:p>
    <w:p w14:paraId="1762E91E"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Em síntese, para os 462 pontos, a contratada do Grupo 1 deverá prover somente a solução de conectividade óptica, enquanto a infraestrutura física associada à instalação das câmeras será tratada no âmbito do Grupo 2.</w:t>
      </w:r>
    </w:p>
    <w:p w14:paraId="10509711" w14:textId="77777777" w:rsidR="006E74E6" w:rsidRPr="006A063F" w:rsidRDefault="006E74E6" w:rsidP="006A063F">
      <w:pPr>
        <w:pStyle w:val="SemEspaamento"/>
        <w:jc w:val="both"/>
        <w:rPr>
          <w:rFonts w:ascii="Bookman Old Style" w:hAnsi="Bookman Old Style"/>
          <w:kern w:val="0"/>
          <w:sz w:val="20"/>
          <w:szCs w:val="20"/>
          <w14:ligatures w14:val="none"/>
        </w:rPr>
      </w:pPr>
    </w:p>
    <w:p w14:paraId="7EC02630" w14:textId="77777777" w:rsidR="006E74E6" w:rsidRPr="006A063F" w:rsidRDefault="006E74E6" w:rsidP="006A063F">
      <w:pPr>
        <w:pStyle w:val="SemEspaamento"/>
        <w:jc w:val="both"/>
        <w:rPr>
          <w:rFonts w:ascii="Bookman Old Style" w:hAnsi="Bookman Old Style"/>
          <w:kern w:val="0"/>
          <w:sz w:val="20"/>
          <w:szCs w:val="20"/>
          <w14:ligatures w14:val="none"/>
        </w:rPr>
      </w:pPr>
    </w:p>
    <w:p w14:paraId="5ACD8533" w14:textId="77777777" w:rsidR="006E74E6" w:rsidRPr="006A063F" w:rsidRDefault="006E74E6" w:rsidP="006A063F">
      <w:pPr>
        <w:pStyle w:val="SemEspaamento"/>
        <w:jc w:val="both"/>
        <w:rPr>
          <w:rFonts w:ascii="Bookman Old Style" w:hAnsi="Bookman Old Style"/>
          <w:kern w:val="0"/>
          <w:sz w:val="20"/>
          <w:szCs w:val="20"/>
          <w14:ligatures w14:val="none"/>
        </w:rPr>
      </w:pPr>
    </w:p>
    <w:p w14:paraId="197BEA58" w14:textId="34EE868E"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b/>
          <w:bCs/>
          <w:kern w:val="0"/>
          <w:sz w:val="20"/>
          <w:szCs w:val="20"/>
          <w14:ligatures w14:val="none"/>
        </w:rPr>
        <w:t>Considerando o trecho do edital que determina</w:t>
      </w:r>
      <w:r w:rsidRPr="006A063F">
        <w:rPr>
          <w:rFonts w:ascii="Bookman Old Style" w:hAnsi="Bookman Old Style"/>
          <w:kern w:val="0"/>
          <w:sz w:val="20"/>
          <w:szCs w:val="20"/>
          <w14:ligatures w14:val="none"/>
        </w:rPr>
        <w:t>:</w:t>
      </w:r>
    </w:p>
    <w:p w14:paraId="41D9EC43"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“A contratada deverá prover todos os equipamentos ativos e passivos necessários à disponibilização da conectividade entre os pontos remotos (462) e os pontos bases (6), bem como destes com os pontos concentradores (2), utilizando infraestrutura baseada em enlaces de fibra óptica dedicados, integrados por meio de tecnologia de rede MPLS.”</w:t>
      </w:r>
    </w:p>
    <w:p w14:paraId="6049AC51"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Solicitamos confirmação se o entendimento está correto de que todos os 462 pontos remotos deverão ser integralmente interligados por fibra óptica à estrutura composta pelos 6 pontos base e, subsequentemente, aos 2 pontos concentradores.</w:t>
      </w:r>
    </w:p>
    <w:p w14:paraId="05648170"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Diante disso, pedimos confirmação se cada um dos 462 pontos remotos deverá possuir conectividade direta com todas as 6 bases simultaneamente ou se haverá uma topologia hierárquica, na qual cada ponto remoto se ligará apenas à base correspondente à sua região.</w:t>
      </w:r>
    </w:p>
    <w:p w14:paraId="7BC64946"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Em outras palavras, solicitamos confirmação de que não será necessário estabelecer múltiplos caminhos independentes a partir de um mesmo ponto remoto para todas as bases, e sim apenas a conexão prevista no desenho de rede oficial do órgão, caso exista.</w:t>
      </w:r>
    </w:p>
    <w:p w14:paraId="38DCABDE"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b/>
          <w:bCs/>
          <w:sz w:val="20"/>
          <w:szCs w:val="20"/>
        </w:rPr>
        <w:t>RESPOSTA</w:t>
      </w:r>
      <w:r w:rsidRPr="006A063F">
        <w:rPr>
          <w:rFonts w:ascii="Bookman Old Style" w:hAnsi="Bookman Old Style"/>
          <w:sz w:val="20"/>
          <w:szCs w:val="20"/>
        </w:rPr>
        <w:t>:</w:t>
      </w:r>
    </w:p>
    <w:p w14:paraId="04BA419D" w14:textId="3DACC3A9"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lastRenderedPageBreak/>
        <w:t>Os 2 pontos concentradores serão os responsáveis por receber, gerenciar e integrar o tráfego proveniente dos 462 pontos remotos. Assim, a topologia da rede será hierarquizada, com os pontos remotos se conectando diretamente aos pontos concentradores.</w:t>
      </w:r>
    </w:p>
    <w:p w14:paraId="7873CEF7"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Os 6 pontos base não receberão conexões diretas individuais de cada ponto remoto. Sua função será a de nós intermediários de apoio, integrados aos pontos concentradores, permitindo:</w:t>
      </w:r>
    </w:p>
    <w:p w14:paraId="0DD7DD02"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acesso às imagens e fluxos provenientes dos pontos remotos,</w:t>
      </w:r>
    </w:p>
    <w:p w14:paraId="2D465232"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compartilhamento de dados,</w:t>
      </w:r>
    </w:p>
    <w:p w14:paraId="7DCC120A" w14:textId="77777777" w:rsidR="006A063F" w:rsidRPr="006A063F" w:rsidRDefault="006A063F" w:rsidP="006A063F">
      <w:pPr>
        <w:pStyle w:val="SemEspaamento"/>
        <w:jc w:val="both"/>
        <w:rPr>
          <w:rFonts w:ascii="Bookman Old Style" w:hAnsi="Bookman Old Style"/>
          <w:sz w:val="20"/>
          <w:szCs w:val="20"/>
        </w:rPr>
      </w:pPr>
      <w:r w:rsidRPr="006A063F">
        <w:rPr>
          <w:rFonts w:ascii="Bookman Old Style" w:hAnsi="Bookman Old Style"/>
          <w:sz w:val="20"/>
          <w:szCs w:val="20"/>
        </w:rPr>
        <w:t>suporte operacional a outras tecnologias correlatas.</w:t>
      </w:r>
    </w:p>
    <w:p w14:paraId="00F60D5A" w14:textId="77777777" w:rsidR="006E74E6" w:rsidRPr="006A063F" w:rsidRDefault="006E74E6" w:rsidP="006A063F">
      <w:pPr>
        <w:pStyle w:val="SemEspaamento"/>
        <w:jc w:val="both"/>
        <w:rPr>
          <w:rFonts w:ascii="Bookman Old Style" w:hAnsi="Bookman Old Style"/>
          <w:kern w:val="0"/>
          <w:sz w:val="20"/>
          <w:szCs w:val="20"/>
          <w14:ligatures w14:val="none"/>
        </w:rPr>
      </w:pPr>
    </w:p>
    <w:p w14:paraId="7A6AE02D" w14:textId="19A440E6" w:rsidR="006E74E6" w:rsidRPr="006A063F" w:rsidRDefault="006E74E6" w:rsidP="006A063F">
      <w:pPr>
        <w:pStyle w:val="SemEspaamento"/>
        <w:jc w:val="both"/>
        <w:rPr>
          <w:rFonts w:ascii="Bookman Old Style" w:hAnsi="Bookman Old Style"/>
          <w:b/>
          <w:bCs/>
          <w:kern w:val="0"/>
          <w:sz w:val="20"/>
          <w:szCs w:val="20"/>
          <w14:ligatures w14:val="none"/>
        </w:rPr>
      </w:pPr>
      <w:r w:rsidRPr="006A063F">
        <w:rPr>
          <w:rFonts w:ascii="Bookman Old Style" w:hAnsi="Bookman Old Style"/>
          <w:b/>
          <w:bCs/>
          <w:kern w:val="0"/>
          <w:sz w:val="20"/>
          <w:szCs w:val="20"/>
          <w14:ligatures w14:val="none"/>
        </w:rPr>
        <w:t>Ainda referente ao item 4.1 – REQUISITOS TÉCNICOS – GRUPO 1:</w:t>
      </w:r>
    </w:p>
    <w:p w14:paraId="71271E2C"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 edital estabelece que todos os 462 pontos remotos deverão ser interligados por fibra óptica aos pontos base e, posteriormente, aos pontos concentradores. Entretanto, identificamos que parte desses pontos se encontra localizada do outro lado da ponte, o que implica diferentes alternativas de passagem física da fibra.</w:t>
      </w:r>
    </w:p>
    <w:p w14:paraId="04BD8516"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Diante disso, solicitamos esclarecimento sobre qual solução de travessia o órgão considera adequada ou permitida para garantir a continuidade do enlace óptico nesses trechos. Especificamente, pedimos confirmação sobre qual das seguintes opções é prevista pelo projeto:</w:t>
      </w:r>
    </w:p>
    <w:p w14:paraId="75A73D49"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Utilização da estrutura da ponte para fixação e passagem do cabo óptico.</w:t>
      </w:r>
    </w:p>
    <w:p w14:paraId="2BE6FE60"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Execução de travessia marítima ou subaquática utilizando cabo apropriado.</w:t>
      </w:r>
    </w:p>
    <w:p w14:paraId="57B96F3B"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Realização de contorno por via terrestre, percurso que, segundo levantamento preliminar, ultrapassa 110 km.</w:t>
      </w:r>
    </w:p>
    <w:p w14:paraId="7FED19C6" w14:textId="77777777" w:rsidR="006E74E6" w:rsidRPr="006A063F" w:rsidRDefault="006E74E6"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Solicitamos que o órgão indique qual método deve ser adotado ou se a escolha ficará a critério da contratada, desde que tecnicamente viável e em conformidade com as normas aplicáveis.</w:t>
      </w:r>
    </w:p>
    <w:p w14:paraId="281FDD80" w14:textId="4D5A6CC1"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b/>
          <w:bCs/>
          <w:kern w:val="0"/>
          <w:sz w:val="20"/>
          <w:szCs w:val="20"/>
          <w14:ligatures w14:val="none"/>
        </w:rPr>
        <w:t>RESPOSTA</w:t>
      </w:r>
      <w:r w:rsidRPr="006A063F">
        <w:rPr>
          <w:rFonts w:ascii="Bookman Old Style" w:hAnsi="Bookman Old Style"/>
          <w:kern w:val="0"/>
          <w:sz w:val="20"/>
          <w:szCs w:val="20"/>
          <w14:ligatures w14:val="none"/>
        </w:rPr>
        <w:t>:</w:t>
      </w:r>
      <w:r w:rsidRPr="006A063F">
        <w:rPr>
          <w:rFonts w:ascii="Bookman Old Style" w:hAnsi="Bookman Old Style"/>
          <w:kern w:val="0"/>
          <w:sz w:val="20"/>
          <w:szCs w:val="20"/>
          <w14:ligatures w14:val="none"/>
        </w:rPr>
        <w:br/>
        <w:t xml:space="preserve">O órgão não possui acesso nem conhecimento prévio sobre a topologia, rotas ou infraestrutura de fibra óptica utilizada pelas empresas que participarão do certame. </w:t>
      </w:r>
    </w:p>
    <w:p w14:paraId="69813F0E"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 edital estabelece apenas que:</w:t>
      </w:r>
    </w:p>
    <w:p w14:paraId="1E5CE7D6"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 atendimento deverá ser realizado exclusivamente por meio de fibra óptica dedicada;</w:t>
      </w:r>
    </w:p>
    <w:p w14:paraId="6D36B7DC"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Os parâmetros de qualidade, tais como latência (</w:t>
      </w:r>
      <w:proofErr w:type="spellStart"/>
      <w:r w:rsidRPr="006A063F">
        <w:rPr>
          <w:rFonts w:ascii="Bookman Old Style" w:hAnsi="Bookman Old Style"/>
          <w:kern w:val="0"/>
          <w:sz w:val="20"/>
          <w:szCs w:val="20"/>
          <w14:ligatures w14:val="none"/>
        </w:rPr>
        <w:t>ping</w:t>
      </w:r>
      <w:proofErr w:type="spellEnd"/>
      <w:r w:rsidRPr="006A063F">
        <w:rPr>
          <w:rFonts w:ascii="Bookman Old Style" w:hAnsi="Bookman Old Style"/>
          <w:kern w:val="0"/>
          <w:sz w:val="20"/>
          <w:szCs w:val="20"/>
          <w14:ligatures w14:val="none"/>
        </w:rPr>
        <w:t>) e demais métricas do SLA, deverão ser integralmente atendidos.</w:t>
      </w:r>
    </w:p>
    <w:p w14:paraId="673858D3" w14:textId="77777777" w:rsidR="006A063F" w:rsidRPr="006A063F" w:rsidRDefault="006A063F" w:rsidP="006A063F">
      <w:pPr>
        <w:pStyle w:val="SemEspaamento"/>
        <w:jc w:val="both"/>
        <w:rPr>
          <w:rFonts w:ascii="Bookman Old Style" w:hAnsi="Bookman Old Style"/>
          <w:kern w:val="0"/>
          <w:sz w:val="20"/>
          <w:szCs w:val="20"/>
          <w14:ligatures w14:val="none"/>
        </w:rPr>
      </w:pPr>
      <w:r w:rsidRPr="006A063F">
        <w:rPr>
          <w:rFonts w:ascii="Bookman Old Style" w:hAnsi="Bookman Old Style"/>
          <w:kern w:val="0"/>
          <w:sz w:val="20"/>
          <w:szCs w:val="20"/>
          <w14:ligatures w14:val="none"/>
        </w:rPr>
        <w:t>O edital também não diferencia se a solução deve ser implementada por rede própria da contratada ou mediante compartilhamento de infraestrutura com terceiros, deixando essa decisão livre, desde que a entrega atenda todos os requisitos funcionais e de qualidade definidos.</w:t>
      </w:r>
    </w:p>
    <w:p w14:paraId="36904F69" w14:textId="77777777" w:rsidR="00924808" w:rsidRPr="006A063F" w:rsidRDefault="00924808" w:rsidP="006A063F">
      <w:pPr>
        <w:pStyle w:val="SemEspaamento"/>
        <w:jc w:val="both"/>
        <w:rPr>
          <w:rFonts w:ascii="Bookman Old Style" w:hAnsi="Bookman Old Style" w:cstheme="minorHAnsi"/>
          <w:color w:val="242424"/>
          <w:sz w:val="20"/>
          <w:szCs w:val="20"/>
        </w:rPr>
      </w:pPr>
    </w:p>
    <w:p w14:paraId="03D28E8D" w14:textId="77777777" w:rsidR="00924808" w:rsidRPr="006A063F" w:rsidRDefault="00924808" w:rsidP="006A063F">
      <w:pPr>
        <w:pStyle w:val="SemEspaamento"/>
        <w:jc w:val="both"/>
        <w:rPr>
          <w:rFonts w:ascii="Bookman Old Style" w:hAnsi="Bookman Old Style" w:cstheme="minorHAnsi"/>
          <w:color w:val="242424"/>
          <w:sz w:val="20"/>
          <w:szCs w:val="20"/>
        </w:rPr>
      </w:pPr>
    </w:p>
    <w:p w14:paraId="3608BF6C" w14:textId="63448D59" w:rsidR="00B62DE8" w:rsidRPr="006A063F" w:rsidRDefault="00B62DE8" w:rsidP="006A063F">
      <w:pPr>
        <w:pStyle w:val="SemEspaamento"/>
        <w:jc w:val="both"/>
        <w:rPr>
          <w:rFonts w:ascii="Bookman Old Style" w:hAnsi="Bookman Old Style" w:cstheme="minorHAnsi"/>
          <w:color w:val="242424"/>
          <w:sz w:val="20"/>
          <w:szCs w:val="20"/>
        </w:rPr>
      </w:pPr>
      <w:r w:rsidRPr="006A063F">
        <w:rPr>
          <w:rFonts w:ascii="Bookman Old Style" w:hAnsi="Bookman Old Style" w:cstheme="minorHAnsi"/>
          <w:color w:val="242424"/>
          <w:sz w:val="20"/>
          <w:szCs w:val="20"/>
        </w:rPr>
        <w:t xml:space="preserve">Niterói, </w:t>
      </w:r>
      <w:r w:rsidR="00960501" w:rsidRPr="006A063F">
        <w:rPr>
          <w:rFonts w:ascii="Bookman Old Style" w:hAnsi="Bookman Old Style" w:cstheme="minorHAnsi"/>
          <w:color w:val="242424"/>
          <w:sz w:val="20"/>
          <w:szCs w:val="20"/>
        </w:rPr>
        <w:t>2</w:t>
      </w:r>
      <w:r w:rsidR="00924808" w:rsidRPr="006A063F">
        <w:rPr>
          <w:rFonts w:ascii="Bookman Old Style" w:hAnsi="Bookman Old Style" w:cstheme="minorHAnsi"/>
          <w:color w:val="242424"/>
          <w:sz w:val="20"/>
          <w:szCs w:val="20"/>
        </w:rPr>
        <w:t>4</w:t>
      </w:r>
      <w:r w:rsidRPr="006A063F">
        <w:rPr>
          <w:rFonts w:ascii="Bookman Old Style" w:hAnsi="Bookman Old Style" w:cstheme="minorHAnsi"/>
          <w:color w:val="242424"/>
          <w:sz w:val="20"/>
          <w:szCs w:val="20"/>
        </w:rPr>
        <w:t>/11/2025</w:t>
      </w:r>
    </w:p>
    <w:p w14:paraId="2776BF34" w14:textId="77777777" w:rsidR="00B62DE8" w:rsidRPr="006A063F" w:rsidRDefault="00B62DE8" w:rsidP="006A063F">
      <w:pPr>
        <w:pStyle w:val="SemEspaamento"/>
        <w:jc w:val="both"/>
        <w:rPr>
          <w:rFonts w:ascii="Bookman Old Style" w:hAnsi="Bookman Old Style" w:cstheme="minorHAnsi"/>
          <w:color w:val="242424"/>
          <w:sz w:val="20"/>
          <w:szCs w:val="20"/>
        </w:rPr>
      </w:pPr>
    </w:p>
    <w:p w14:paraId="625D0273" w14:textId="08A47059" w:rsidR="00497D32" w:rsidRPr="006A063F" w:rsidRDefault="00D02D1B" w:rsidP="006A063F">
      <w:pPr>
        <w:pStyle w:val="SemEspaamento"/>
        <w:jc w:val="both"/>
        <w:rPr>
          <w:rFonts w:ascii="Bookman Old Style" w:hAnsi="Bookman Old Style" w:cstheme="minorHAnsi"/>
          <w:sz w:val="20"/>
          <w:szCs w:val="20"/>
        </w:rPr>
      </w:pPr>
      <w:r w:rsidRPr="006A063F">
        <w:rPr>
          <w:rFonts w:ascii="Bookman Old Style" w:hAnsi="Bookman Old Style" w:cstheme="minorHAnsi"/>
          <w:color w:val="242424"/>
          <w:sz w:val="20"/>
          <w:szCs w:val="20"/>
        </w:rPr>
        <w:t xml:space="preserve">Secretaria Municipal de </w:t>
      </w:r>
      <w:r w:rsidR="00B62DE8" w:rsidRPr="006A063F">
        <w:rPr>
          <w:rFonts w:ascii="Bookman Old Style" w:hAnsi="Bookman Old Style" w:cstheme="minorHAnsi"/>
          <w:color w:val="242424"/>
          <w:sz w:val="20"/>
          <w:szCs w:val="20"/>
        </w:rPr>
        <w:t>Ordem Pública</w:t>
      </w:r>
    </w:p>
    <w:sectPr w:rsidR="00497D32" w:rsidRPr="006A06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16D"/>
    <w:multiLevelType w:val="multilevel"/>
    <w:tmpl w:val="16647AFE"/>
    <w:lvl w:ilvl="0">
      <w:start w:val="1"/>
      <w:numFmt w:val="lowerLetter"/>
      <w:lvlText w:val="%1)"/>
      <w:lvlJc w:val="left"/>
      <w:pPr>
        <w:tabs>
          <w:tab w:val="num" w:pos="720"/>
        </w:tabs>
        <w:ind w:left="720" w:hanging="360"/>
      </w:pPr>
      <w:rPr>
        <w:rFonts w:ascii="Aptos" w:eastAsia="Times New Roman" w:hAnsi="Aptos"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44410"/>
    <w:multiLevelType w:val="hybridMultilevel"/>
    <w:tmpl w:val="13DC52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957816"/>
    <w:multiLevelType w:val="multilevel"/>
    <w:tmpl w:val="6DAE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900DB"/>
    <w:multiLevelType w:val="multilevel"/>
    <w:tmpl w:val="08A4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82711"/>
    <w:multiLevelType w:val="hybridMultilevel"/>
    <w:tmpl w:val="ED22C9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202400"/>
    <w:multiLevelType w:val="multilevel"/>
    <w:tmpl w:val="BE86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6C6979"/>
    <w:multiLevelType w:val="multilevel"/>
    <w:tmpl w:val="156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61D00"/>
    <w:multiLevelType w:val="multilevel"/>
    <w:tmpl w:val="75D0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51DA6"/>
    <w:multiLevelType w:val="multilevel"/>
    <w:tmpl w:val="1D8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13216"/>
    <w:multiLevelType w:val="multilevel"/>
    <w:tmpl w:val="6DB2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E78B7"/>
    <w:multiLevelType w:val="multilevel"/>
    <w:tmpl w:val="914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14C57"/>
    <w:multiLevelType w:val="multilevel"/>
    <w:tmpl w:val="B97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6217F"/>
    <w:multiLevelType w:val="multilevel"/>
    <w:tmpl w:val="8F3C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5C16EE"/>
    <w:multiLevelType w:val="multilevel"/>
    <w:tmpl w:val="E098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72C4F"/>
    <w:multiLevelType w:val="multilevel"/>
    <w:tmpl w:val="D8F27A7C"/>
    <w:lvl w:ilvl="0">
      <w:start w:val="1"/>
      <w:numFmt w:val="lowerLetter"/>
      <w:lvlText w:val="%1)"/>
      <w:lvlJc w:val="left"/>
      <w:pPr>
        <w:tabs>
          <w:tab w:val="num" w:pos="720"/>
        </w:tabs>
        <w:ind w:left="720" w:hanging="360"/>
      </w:pPr>
      <w:rPr>
        <w:rFonts w:ascii="Aptos" w:eastAsia="Times New Roman" w:hAnsi="Aptos"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489969">
    <w:abstractNumId w:val="14"/>
  </w:num>
  <w:num w:numId="2" w16cid:durableId="1503356428">
    <w:abstractNumId w:val="0"/>
  </w:num>
  <w:num w:numId="3" w16cid:durableId="424225464">
    <w:abstractNumId w:val="1"/>
  </w:num>
  <w:num w:numId="4" w16cid:durableId="1244872507">
    <w:abstractNumId w:val="4"/>
  </w:num>
  <w:num w:numId="5" w16cid:durableId="1392190719">
    <w:abstractNumId w:val="8"/>
  </w:num>
  <w:num w:numId="6" w16cid:durableId="466511205">
    <w:abstractNumId w:val="5"/>
  </w:num>
  <w:num w:numId="7" w16cid:durableId="126164349">
    <w:abstractNumId w:val="12"/>
  </w:num>
  <w:num w:numId="8" w16cid:durableId="104085632">
    <w:abstractNumId w:val="9"/>
  </w:num>
  <w:num w:numId="9" w16cid:durableId="1790927180">
    <w:abstractNumId w:val="7"/>
  </w:num>
  <w:num w:numId="10" w16cid:durableId="324553405">
    <w:abstractNumId w:val="13"/>
  </w:num>
  <w:num w:numId="11" w16cid:durableId="1104879336">
    <w:abstractNumId w:val="3"/>
  </w:num>
  <w:num w:numId="12" w16cid:durableId="1540128245">
    <w:abstractNumId w:val="2"/>
  </w:num>
  <w:num w:numId="13" w16cid:durableId="651522895">
    <w:abstractNumId w:val="10"/>
  </w:num>
  <w:num w:numId="14" w16cid:durableId="719404860">
    <w:abstractNumId w:val="11"/>
  </w:num>
  <w:num w:numId="15" w16cid:durableId="622075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BE"/>
    <w:rsid w:val="000003E9"/>
    <w:rsid w:val="00017DBE"/>
    <w:rsid w:val="000800BF"/>
    <w:rsid w:val="001671B1"/>
    <w:rsid w:val="00345571"/>
    <w:rsid w:val="003A0BD1"/>
    <w:rsid w:val="003F7553"/>
    <w:rsid w:val="00497D32"/>
    <w:rsid w:val="005B1F66"/>
    <w:rsid w:val="006201F8"/>
    <w:rsid w:val="006A063F"/>
    <w:rsid w:val="006E74E6"/>
    <w:rsid w:val="008662E7"/>
    <w:rsid w:val="00924808"/>
    <w:rsid w:val="00960501"/>
    <w:rsid w:val="00B46324"/>
    <w:rsid w:val="00B62DE8"/>
    <w:rsid w:val="00CA3C57"/>
    <w:rsid w:val="00D02D1B"/>
    <w:rsid w:val="00E74463"/>
    <w:rsid w:val="00FC7EEB"/>
    <w:rsid w:val="00FE59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D709"/>
  <w15:chartTrackingRefBased/>
  <w15:docId w15:val="{7C876A51-C62B-4756-8C81-EF54E4D8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17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17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17D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17D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17D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17D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17D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17D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17D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7DB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17DB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17DB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17DB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17DB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17DB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7DB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7DB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7DBE"/>
    <w:rPr>
      <w:rFonts w:eastAsiaTheme="majorEastAsia" w:cstheme="majorBidi"/>
      <w:color w:val="272727" w:themeColor="text1" w:themeTint="D8"/>
    </w:rPr>
  </w:style>
  <w:style w:type="paragraph" w:styleId="Ttulo">
    <w:name w:val="Title"/>
    <w:basedOn w:val="Normal"/>
    <w:next w:val="Normal"/>
    <w:link w:val="TtuloChar"/>
    <w:uiPriority w:val="10"/>
    <w:qFormat/>
    <w:rsid w:val="00017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17D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17D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17DB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17DBE"/>
    <w:pPr>
      <w:spacing w:before="160"/>
      <w:jc w:val="center"/>
    </w:pPr>
    <w:rPr>
      <w:i/>
      <w:iCs/>
      <w:color w:val="404040" w:themeColor="text1" w:themeTint="BF"/>
    </w:rPr>
  </w:style>
  <w:style w:type="character" w:customStyle="1" w:styleId="CitaoChar">
    <w:name w:val="Citação Char"/>
    <w:basedOn w:val="Fontepargpadro"/>
    <w:link w:val="Citao"/>
    <w:uiPriority w:val="29"/>
    <w:rsid w:val="00017DBE"/>
    <w:rPr>
      <w:i/>
      <w:iCs/>
      <w:color w:val="404040" w:themeColor="text1" w:themeTint="BF"/>
    </w:rPr>
  </w:style>
  <w:style w:type="paragraph" w:styleId="PargrafodaLista">
    <w:name w:val="List Paragraph"/>
    <w:basedOn w:val="Normal"/>
    <w:uiPriority w:val="34"/>
    <w:qFormat/>
    <w:rsid w:val="00017DBE"/>
    <w:pPr>
      <w:ind w:left="720"/>
      <w:contextualSpacing/>
    </w:pPr>
  </w:style>
  <w:style w:type="character" w:styleId="nfaseIntensa">
    <w:name w:val="Intense Emphasis"/>
    <w:basedOn w:val="Fontepargpadro"/>
    <w:uiPriority w:val="21"/>
    <w:qFormat/>
    <w:rsid w:val="00017DBE"/>
    <w:rPr>
      <w:i/>
      <w:iCs/>
      <w:color w:val="2F5496" w:themeColor="accent1" w:themeShade="BF"/>
    </w:rPr>
  </w:style>
  <w:style w:type="paragraph" w:styleId="CitaoIntensa">
    <w:name w:val="Intense Quote"/>
    <w:basedOn w:val="Normal"/>
    <w:next w:val="Normal"/>
    <w:link w:val="CitaoIntensaChar"/>
    <w:uiPriority w:val="30"/>
    <w:qFormat/>
    <w:rsid w:val="00017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17DBE"/>
    <w:rPr>
      <w:i/>
      <w:iCs/>
      <w:color w:val="2F5496" w:themeColor="accent1" w:themeShade="BF"/>
    </w:rPr>
  </w:style>
  <w:style w:type="character" w:styleId="RefernciaIntensa">
    <w:name w:val="Intense Reference"/>
    <w:basedOn w:val="Fontepargpadro"/>
    <w:uiPriority w:val="32"/>
    <w:qFormat/>
    <w:rsid w:val="00017DBE"/>
    <w:rPr>
      <w:b/>
      <w:bCs/>
      <w:smallCaps/>
      <w:color w:val="2F5496" w:themeColor="accent1" w:themeShade="BF"/>
      <w:spacing w:val="5"/>
    </w:rPr>
  </w:style>
  <w:style w:type="paragraph" w:styleId="NormalWeb">
    <w:name w:val="Normal (Web)"/>
    <w:basedOn w:val="Normal"/>
    <w:uiPriority w:val="99"/>
    <w:unhideWhenUsed/>
    <w:rsid w:val="00497D3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497D32"/>
    <w:rPr>
      <w:b/>
      <w:bCs/>
    </w:rPr>
  </w:style>
  <w:style w:type="character" w:styleId="nfase">
    <w:name w:val="Emphasis"/>
    <w:basedOn w:val="Fontepargpadro"/>
    <w:uiPriority w:val="20"/>
    <w:qFormat/>
    <w:rsid w:val="00497D32"/>
    <w:rPr>
      <w:i/>
      <w:iCs/>
    </w:rPr>
  </w:style>
  <w:style w:type="paragraph" w:styleId="SemEspaamento">
    <w:name w:val="No Spacing"/>
    <w:uiPriority w:val="1"/>
    <w:qFormat/>
    <w:rsid w:val="00D02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2511</Words>
  <Characters>13562</Characters>
  <Application>Microsoft Office Word</Application>
  <DocSecurity>0</DocSecurity>
  <Lines>113</Lines>
  <Paragraphs>32</Paragraphs>
  <ScaleCrop>false</ScaleCrop>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Concyr Formiga</dc:creator>
  <cp:keywords/>
  <dc:description/>
  <cp:lastModifiedBy>Concyr Formiga Bernardes</cp:lastModifiedBy>
  <cp:revision>4</cp:revision>
  <cp:lastPrinted>2025-11-24T16:09:00Z</cp:lastPrinted>
  <dcterms:created xsi:type="dcterms:W3CDTF">2025-11-24T16:00:00Z</dcterms:created>
  <dcterms:modified xsi:type="dcterms:W3CDTF">2025-11-24T16:10:00Z</dcterms:modified>
</cp:coreProperties>
</file>